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66ECC4">
      <w:pPr>
        <w:spacing w:line="242" w:lineRule="auto"/>
        <w:rPr>
          <w:rFonts w:ascii="Arial"/>
          <w:sz w:val="21"/>
        </w:rPr>
      </w:pPr>
    </w:p>
    <w:p w14:paraId="2EFDC3ED">
      <w:pPr>
        <w:spacing w:line="242" w:lineRule="auto"/>
        <w:rPr>
          <w:rFonts w:ascii="Arial"/>
          <w:sz w:val="21"/>
        </w:rPr>
      </w:pPr>
    </w:p>
    <w:p w14:paraId="5DE46746">
      <w:pPr>
        <w:spacing w:line="242" w:lineRule="auto"/>
        <w:rPr>
          <w:rFonts w:ascii="Arial"/>
          <w:sz w:val="21"/>
        </w:rPr>
      </w:pPr>
    </w:p>
    <w:p w14:paraId="3099070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tabs>
          <w:tab w:val="left" w:pos="3776"/>
        </w:tabs>
        <w:kinsoku/>
        <w:wordWrap w:val="0"/>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rPr>
      </w:pP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lang w:val="en-US" w:eastAsia="zh-CN"/>
        </w:rPr>
        <w:t>石家庄市</w:t>
      </w: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rPr>
        <w:t>房地产</w:t>
      </w: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lang w:val="en-US" w:eastAsia="zh-CN"/>
        </w:rPr>
        <w:t>企业</w:t>
      </w: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rPr>
        <w:t>信用信息管理办法</w:t>
      </w:r>
    </w:p>
    <w:p w14:paraId="61D8141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tabs>
          <w:tab w:val="left" w:pos="3776"/>
        </w:tabs>
        <w:kinsoku/>
        <w:wordWrap w:val="0"/>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lang w:eastAsia="zh-CN"/>
        </w:rPr>
      </w:pP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fill="FFFFFF"/>
          <w:lang w:eastAsia="zh-CN"/>
        </w:rPr>
        <w:t>（征求意见稿）</w:t>
      </w:r>
    </w:p>
    <w:p w14:paraId="11D6C4C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600" w:lineRule="exact"/>
        <w:ind w:left="0" w:right="0"/>
        <w:jc w:val="both"/>
        <w:textAlignment w:val="auto"/>
        <w:rPr>
          <w:rFonts w:hint="eastAsia" w:ascii="黑体" w:hAnsi="黑体" w:eastAsia="黑体" w:cs="黑体"/>
          <w:b w:val="0"/>
          <w:bCs w:val="0"/>
          <w:i w:val="0"/>
          <w:iCs w:val="0"/>
          <w:caps w:val="0"/>
          <w:color w:val="auto"/>
          <w:spacing w:val="0"/>
          <w:sz w:val="32"/>
          <w:szCs w:val="32"/>
          <w:highlight w:val="none"/>
          <w:shd w:val="clear" w:fill="FFFFFF"/>
        </w:rPr>
      </w:pPr>
    </w:p>
    <w:p w14:paraId="0B20EFB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仿宋_GB2312" w:hAnsi="仿宋_GB2312" w:eastAsia="仿宋_GB2312" w:cs="仿宋_GB2312"/>
          <w:b w:val="0"/>
          <w:bCs w:val="0"/>
          <w:color w:val="auto"/>
          <w:sz w:val="32"/>
          <w:szCs w:val="32"/>
          <w:highlight w:val="none"/>
        </w:rPr>
      </w:pPr>
      <w:r>
        <w:rPr>
          <w:rFonts w:hint="eastAsia" w:ascii="黑体" w:hAnsi="黑体" w:eastAsia="黑体" w:cs="黑体"/>
          <w:b w:val="0"/>
          <w:bCs w:val="0"/>
          <w:i w:val="0"/>
          <w:iCs w:val="0"/>
          <w:caps w:val="0"/>
          <w:color w:val="auto"/>
          <w:spacing w:val="0"/>
          <w:sz w:val="32"/>
          <w:szCs w:val="32"/>
          <w:highlight w:val="none"/>
          <w:shd w:val="clear" w:fill="FFFFFF"/>
        </w:rPr>
        <w:t>第一章  总  则</w:t>
      </w:r>
    </w:p>
    <w:p w14:paraId="6A0D6EF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第一条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为全面贯彻落实《河北省人民政府办公厅关于印发河北省企业信用分级分类监管实施方案的通知》《河北省城市房地产开发经营管理规定》《石家庄市人民政府办公室印发关于推进企业信用分级分类监管工作的实施方案的通知》等有关规定要求，</w:t>
      </w:r>
      <w:r>
        <w:rPr>
          <w:rFonts w:hint="eastAsia" w:ascii="仿宋_GB2312" w:hAnsi="仿宋_GB2312" w:eastAsia="仿宋_GB2312" w:cs="仿宋_GB2312"/>
          <w:b w:val="0"/>
          <w:bCs w:val="0"/>
          <w:i w:val="0"/>
          <w:iCs w:val="0"/>
          <w:caps w:val="0"/>
          <w:color w:val="auto"/>
          <w:spacing w:val="0"/>
          <w:sz w:val="32"/>
          <w:szCs w:val="32"/>
          <w:highlight w:val="none"/>
          <w:shd w:val="clear" w:fill="FFFFFF"/>
        </w:rPr>
        <w:t>加强</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我市</w:t>
      </w: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信用信息管理，规范经营行为，维护市场秩序，结合</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本市</w:t>
      </w:r>
      <w:r>
        <w:rPr>
          <w:rFonts w:hint="eastAsia" w:ascii="仿宋_GB2312" w:hAnsi="仿宋_GB2312" w:eastAsia="仿宋_GB2312" w:cs="仿宋_GB2312"/>
          <w:b w:val="0"/>
          <w:bCs w:val="0"/>
          <w:i w:val="0"/>
          <w:iCs w:val="0"/>
          <w:caps w:val="0"/>
          <w:color w:val="auto"/>
          <w:spacing w:val="0"/>
          <w:sz w:val="32"/>
          <w:szCs w:val="32"/>
          <w:highlight w:val="none"/>
          <w:shd w:val="clear" w:fill="FFFFFF"/>
        </w:rPr>
        <w:t>实际，制定本办法。</w:t>
      </w:r>
    </w:p>
    <w:p w14:paraId="13620D6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第二条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xml:space="preserve"> 凡在本市行政区域内从事房地产开发、经营、管理、服务活动的房地产企业，包括房地产开发企业、房地产经纪机构、房地产评估机构</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rPr>
        <w:t>其信用信息的采集、认定、评价、公开、使用及监督管理等活动，适用本办法。</w:t>
      </w:r>
    </w:p>
    <w:p w14:paraId="618D67A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三</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shd w:val="clear" w:fill="FFFFFF"/>
        </w:rPr>
        <w:t>本办法所称的信用信息，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是指用于识别房地产领域法人和非法人组织信用状况的客观数据和资料</w:t>
      </w:r>
      <w:r>
        <w:rPr>
          <w:rFonts w:hint="eastAsia" w:ascii="仿宋_GB2312" w:hAnsi="仿宋_GB2312" w:eastAsia="仿宋_GB2312" w:cs="仿宋_GB2312"/>
          <w:b w:val="0"/>
          <w:bCs w:val="0"/>
          <w:i w:val="0"/>
          <w:iCs w:val="0"/>
          <w:caps w:val="0"/>
          <w:color w:val="auto"/>
          <w:spacing w:val="0"/>
          <w:sz w:val="32"/>
          <w:szCs w:val="32"/>
          <w:highlight w:val="none"/>
          <w:shd w:val="clear" w:fill="FFFFFF"/>
        </w:rPr>
        <w:t>。</w:t>
      </w:r>
    </w:p>
    <w:p w14:paraId="644B7F0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四</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xml:space="preserve"> 市</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负责本市行政区域内房地产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信用信息管理制度的制定</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信用信息管理系统（以下简称信用信息系统）的建设</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，良好信用信息的审核认定，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评估机构</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信用信息的采集、认定、评价、公开、使用及监督管理</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rPr>
        <w:t>探索建立与其他职能部门、金融机构信用信息合作共享机制</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p>
    <w:p w14:paraId="0C3C50B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各</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县（市、区）</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具体</w:t>
      </w:r>
      <w:r>
        <w:rPr>
          <w:rFonts w:hint="eastAsia" w:ascii="仿宋_GB2312" w:hAnsi="仿宋_GB2312" w:eastAsia="仿宋_GB2312" w:cs="仿宋_GB2312"/>
          <w:b w:val="0"/>
          <w:bCs w:val="0"/>
          <w:i w:val="0"/>
          <w:iCs w:val="0"/>
          <w:caps w:val="0"/>
          <w:color w:val="auto"/>
          <w:spacing w:val="0"/>
          <w:sz w:val="32"/>
          <w:szCs w:val="32"/>
          <w:highlight w:val="none"/>
          <w:shd w:val="clear" w:fill="FFFFFF"/>
        </w:rPr>
        <w:t>负责辖区内房地产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开发</w:t>
      </w:r>
      <w:r>
        <w:rPr>
          <w:rFonts w:hint="eastAsia" w:ascii="仿宋_GB2312" w:hAnsi="仿宋_GB2312" w:eastAsia="仿宋_GB2312" w:cs="仿宋_GB2312"/>
          <w:b w:val="0"/>
          <w:bCs w:val="0"/>
          <w:i w:val="0"/>
          <w:iCs w:val="0"/>
          <w:caps w:val="0"/>
          <w:color w:val="auto"/>
          <w:spacing w:val="0"/>
          <w:sz w:val="32"/>
          <w:szCs w:val="32"/>
          <w:highlight w:val="none"/>
          <w:shd w:val="clear" w:fill="FFFFFF"/>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和</w:t>
      </w: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经纪机构</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信用信息的采集、认定、评价、公开、使用及监督管理工作。</w:t>
      </w:r>
    </w:p>
    <w:p w14:paraId="38C5656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市房地产业协会</w:t>
      </w:r>
      <w:r>
        <w:rPr>
          <w:rFonts w:hint="eastAsia" w:ascii="仿宋_GB2312" w:hAnsi="仿宋_GB2312" w:eastAsia="仿宋_GB2312" w:cs="仿宋_GB2312"/>
          <w:b w:val="0"/>
          <w:bCs w:val="0"/>
          <w:i w:val="0"/>
          <w:iCs w:val="0"/>
          <w:caps w:val="0"/>
          <w:color w:val="auto"/>
          <w:spacing w:val="0"/>
          <w:sz w:val="32"/>
          <w:szCs w:val="32"/>
          <w:highlight w:val="none"/>
          <w:shd w:val="clear" w:fill="FFFFFF"/>
        </w:rPr>
        <w:t>在</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市</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指导下，协助做好信用信息采集、评价、公开以及信用信息档案管理等工作</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p>
    <w:p w14:paraId="29A91040">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五</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xml:space="preserve"> 房地产企业信用信息的采集、认定、评价、公开、使用及监督管理等活动，应当遵循合法、客观、公正、及时的原则，不得危害国家安全、公共安全、经济安全和社会稳定，不得侵犯国家秘密、商业秘密和个人隐私。</w:t>
      </w:r>
    </w:p>
    <w:p w14:paraId="64E57EC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jc w:val="both"/>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六</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信用信息遵循“谁提供</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rPr>
        <w:t>谁负责”的原则，由信用信息提供方保证信用信息的真实性、准确性、完整性和合法性。</w:t>
      </w:r>
    </w:p>
    <w:p w14:paraId="30FC565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p>
    <w:p w14:paraId="4C69F0A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黑体" w:hAnsi="黑体" w:eastAsia="黑体" w:cs="黑体"/>
          <w:b w:val="0"/>
          <w:bCs w:val="0"/>
          <w:i w:val="0"/>
          <w:iCs w:val="0"/>
          <w:caps w:val="0"/>
          <w:color w:val="auto"/>
          <w:spacing w:val="0"/>
          <w:sz w:val="32"/>
          <w:szCs w:val="32"/>
          <w:highlight w:val="none"/>
          <w:shd w:val="clear" w:fill="FFFFFF"/>
        </w:rPr>
        <w:t>第二章  信用信息采集</w:t>
      </w:r>
    </w:p>
    <w:p w14:paraId="2AF4B5A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strike/>
          <w:dstrike w:val="0"/>
          <w:color w:val="auto"/>
          <w:sz w:val="32"/>
          <w:szCs w:val="32"/>
          <w:highlight w:val="none"/>
        </w:rPr>
      </w:pP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七</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房地产估价机构取得备案后，市住建部门应当在15个工作日内将其纳入信用监管范围；</w:t>
      </w: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开发</w:t>
      </w:r>
      <w:r>
        <w:rPr>
          <w:rFonts w:hint="eastAsia" w:ascii="仿宋_GB2312" w:hAnsi="仿宋_GB2312" w:eastAsia="仿宋_GB2312" w:cs="仿宋_GB2312"/>
          <w:b w:val="0"/>
          <w:bCs w:val="0"/>
          <w:i w:val="0"/>
          <w:iCs w:val="0"/>
          <w:caps w:val="0"/>
          <w:color w:val="auto"/>
          <w:spacing w:val="0"/>
          <w:sz w:val="32"/>
          <w:szCs w:val="32"/>
          <w:highlight w:val="none"/>
          <w:shd w:val="clear" w:fill="FFFFFF"/>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取得房地产开发资质后，房地产经纪机构取得备案后，辖区住建部门应当在15个工作日内将其纳入信用监管范围，组织企业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填报</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信用信息系统，建立</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信用信息档案。</w:t>
      </w:r>
    </w:p>
    <w:p w14:paraId="5243A55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八</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xml:space="preserve"> 房地产企业信用信息档案由</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基础信息</w:t>
      </w:r>
      <w:r>
        <w:rPr>
          <w:rFonts w:hint="eastAsia" w:ascii="仿宋_GB2312" w:hAnsi="仿宋_GB2312" w:eastAsia="仿宋_GB2312" w:cs="仿宋_GB2312"/>
          <w:b w:val="0"/>
          <w:bCs w:val="0"/>
          <w:i w:val="0"/>
          <w:iCs w:val="0"/>
          <w:caps w:val="0"/>
          <w:color w:val="auto"/>
          <w:spacing w:val="0"/>
          <w:sz w:val="32"/>
          <w:szCs w:val="32"/>
          <w:highlight w:val="none"/>
          <w:shd w:val="clear" w:fill="FFFFFF"/>
        </w:rPr>
        <w:t>、</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业绩</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信息、良好信用信息、不良信用信息、信用等级等信息构成。</w:t>
      </w:r>
    </w:p>
    <w:p w14:paraId="5DC5DF1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基础信息包括房地产企业市场主体登记信息、资质等级（备案）信息、人员信息等。</w:t>
      </w:r>
    </w:p>
    <w:p w14:paraId="5B1C52B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C00000"/>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业绩</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是指房地产开发项目建设和销售等信息、房地产经纪机构代理成交房屋数量等信息、房地产估价机构评估土地、房屋等面积数量信息。</w:t>
      </w:r>
    </w:p>
    <w:p w14:paraId="33BA027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良好信用信息是指房地产企业在开发、经营、管理、服务活动中遵纪守法、诚信经营，自觉维护房地产市场秩序，获得县级以上人民政府、监管部门、行业协会的表彰奖励以及对社会公益事业的贡献等信息。</w:t>
      </w:r>
    </w:p>
    <w:p w14:paraId="5239199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不良信用信息是指房地产企业在开发、经营、管理、服务活动中，违反有关国家法律、法规、规章制度，</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val="en-US" w:eastAsia="zh-CN"/>
        </w:rPr>
        <w:t>违反市场公平竞争、诚实信用原则，妨碍或干扰监督管理，</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行政机关依法作出行政处理决定，或被有关部门认定的其他不良信用信息。</w:t>
      </w:r>
    </w:p>
    <w:p w14:paraId="72BB51D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信用等级是指根据本办法有关规定对房地产企业的行为</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进行</w:t>
      </w:r>
      <w:r>
        <w:rPr>
          <w:rFonts w:hint="eastAsia" w:ascii="仿宋_GB2312" w:hAnsi="仿宋_GB2312" w:eastAsia="仿宋_GB2312" w:cs="仿宋_GB2312"/>
          <w:b w:val="0"/>
          <w:bCs w:val="0"/>
          <w:i w:val="0"/>
          <w:iCs w:val="0"/>
          <w:caps w:val="0"/>
          <w:color w:val="auto"/>
          <w:spacing w:val="0"/>
          <w:sz w:val="32"/>
          <w:szCs w:val="32"/>
          <w:highlight w:val="none"/>
          <w:shd w:val="clear" w:fill="FFFFFF"/>
        </w:rPr>
        <w:t>评定形成的等级信息。</w:t>
      </w:r>
    </w:p>
    <w:p w14:paraId="426033BA">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九</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房地产企业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应在</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基础信息</w:t>
      </w:r>
      <w:r>
        <w:rPr>
          <w:rFonts w:hint="eastAsia" w:ascii="仿宋_GB2312" w:hAnsi="仿宋_GB2312" w:eastAsia="仿宋_GB2312" w:cs="仿宋_GB2312"/>
          <w:b w:val="0"/>
          <w:bCs w:val="0"/>
          <w:i w:val="0"/>
          <w:iCs w:val="0"/>
          <w:caps w:val="0"/>
          <w:color w:val="auto"/>
          <w:spacing w:val="0"/>
          <w:sz w:val="32"/>
          <w:szCs w:val="32"/>
          <w:highlight w:val="none"/>
          <w:shd w:val="clear" w:fill="FFFFFF"/>
        </w:rPr>
        <w:t>、</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业绩</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信息等发生变更或</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市场主体登记信息</w:t>
      </w:r>
      <w:r>
        <w:rPr>
          <w:rFonts w:hint="eastAsia" w:ascii="仿宋_GB2312" w:hAnsi="仿宋_GB2312" w:eastAsia="仿宋_GB2312" w:cs="仿宋_GB2312"/>
          <w:b w:val="0"/>
          <w:bCs w:val="0"/>
          <w:i w:val="0"/>
          <w:iCs w:val="0"/>
          <w:caps w:val="0"/>
          <w:color w:val="auto"/>
          <w:spacing w:val="0"/>
          <w:sz w:val="32"/>
          <w:szCs w:val="32"/>
          <w:highlight w:val="none"/>
          <w:shd w:val="clear" w:fill="FFFFFF"/>
        </w:rPr>
        <w:t>注销之日起</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5个工作</w:t>
      </w:r>
      <w:r>
        <w:rPr>
          <w:rFonts w:hint="eastAsia" w:ascii="仿宋_GB2312" w:hAnsi="仿宋_GB2312" w:eastAsia="仿宋_GB2312" w:cs="仿宋_GB2312"/>
          <w:b w:val="0"/>
          <w:bCs w:val="0"/>
          <w:i w:val="0"/>
          <w:iCs w:val="0"/>
          <w:caps w:val="0"/>
          <w:color w:val="auto"/>
          <w:spacing w:val="0"/>
          <w:sz w:val="32"/>
          <w:szCs w:val="32"/>
          <w:highlight w:val="none"/>
          <w:shd w:val="clear" w:fill="FFFFFF"/>
        </w:rPr>
        <w:t>日内，在信用信息系统登记、变更相关信用信息或申请注销信用信息档案。</w:t>
      </w:r>
    </w:p>
    <w:p w14:paraId="4AE7E9F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pPr>
      <w:r>
        <w:rPr>
          <w:rFonts w:hint="eastAsia" w:ascii="仿宋_GB2312" w:hAnsi="仿宋_GB2312" w:eastAsia="仿宋_GB2312" w:cs="仿宋_GB2312"/>
          <w:b/>
          <w:bCs/>
          <w:i w:val="0"/>
          <w:iCs w:val="0"/>
          <w:caps w:val="0"/>
          <w:color w:val="auto"/>
          <w:spacing w:val="0"/>
          <w:sz w:val="32"/>
          <w:szCs w:val="32"/>
          <w:highlight w:val="none"/>
          <w:shd w:val="clear" w:fill="FFFFFF"/>
        </w:rPr>
        <w:t>第十条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房地产企业的信用信息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可以</w:t>
      </w:r>
      <w:r>
        <w:rPr>
          <w:rFonts w:hint="eastAsia" w:ascii="仿宋_GB2312" w:hAnsi="仿宋_GB2312" w:eastAsia="仿宋_GB2312" w:cs="仿宋_GB2312"/>
          <w:b w:val="0"/>
          <w:bCs w:val="0"/>
          <w:i w:val="0"/>
          <w:iCs w:val="0"/>
          <w:caps w:val="0"/>
          <w:color w:val="auto"/>
          <w:spacing w:val="0"/>
          <w:sz w:val="32"/>
          <w:szCs w:val="32"/>
          <w:highlight w:val="none"/>
          <w:shd w:val="clear" w:fill="FFFFFF"/>
        </w:rPr>
        <w:t>通过下列渠道进行采集</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eastAsia="zh-CN"/>
        </w:rPr>
        <w:t>。</w:t>
      </w:r>
    </w:p>
    <w:p w14:paraId="1F26B4B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（一）通过政府数据共享途径获取的房地产企业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市场主体登记信息</w:t>
      </w:r>
      <w:r>
        <w:rPr>
          <w:rFonts w:hint="eastAsia" w:ascii="仿宋_GB2312" w:hAnsi="仿宋_GB2312" w:eastAsia="仿宋_GB2312" w:cs="仿宋_GB2312"/>
          <w:b w:val="0"/>
          <w:bCs w:val="0"/>
          <w:i w:val="0"/>
          <w:iCs w:val="0"/>
          <w:caps w:val="0"/>
          <w:color w:val="auto"/>
          <w:spacing w:val="0"/>
          <w:sz w:val="32"/>
          <w:szCs w:val="32"/>
          <w:highlight w:val="none"/>
          <w:shd w:val="clear" w:fill="FFFFFF"/>
        </w:rPr>
        <w:t>；</w:t>
      </w:r>
    </w:p>
    <w:p w14:paraId="7B7F53E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（二）房地产企业自行填报的信息；</w:t>
      </w:r>
    </w:p>
    <w:p w14:paraId="4586B5A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（三）市、</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县（市、区）</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对房地产企业监督及执法检查信息；</w:t>
      </w:r>
    </w:p>
    <w:p w14:paraId="1D7E1DF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rPr>
        <w:t>（四）</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eastAsia="zh-CN"/>
        </w:rPr>
        <w:t>经调查核实，</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rPr>
        <w:t>房地产企业</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eastAsia="zh-CN"/>
        </w:rPr>
        <w:t>存在违反国家法律法规</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rPr>
        <w:t>行为的举报、投诉信息；</w:t>
      </w:r>
    </w:p>
    <w:p w14:paraId="77662FE0">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（五）新闻媒体公开</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eastAsia="zh-CN"/>
        </w:rPr>
        <w:t>曝光</w:t>
      </w:r>
      <w:r>
        <w:rPr>
          <w:rFonts w:hint="eastAsia" w:ascii="仿宋_GB2312" w:hAnsi="仿宋_GB2312" w:eastAsia="仿宋_GB2312" w:cs="仿宋_GB2312"/>
          <w:b w:val="0"/>
          <w:bCs w:val="0"/>
          <w:i w:val="0"/>
          <w:iCs w:val="0"/>
          <w:caps w:val="0"/>
          <w:color w:val="auto"/>
          <w:spacing w:val="0"/>
          <w:sz w:val="32"/>
          <w:szCs w:val="32"/>
          <w:highlight w:val="none"/>
          <w:shd w:val="clear" w:fill="FFFFFF"/>
        </w:rPr>
        <w:t>并经核实的信息；</w:t>
      </w:r>
    </w:p>
    <w:p w14:paraId="3E2CC44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（六）行业协会、商业银行及其他组织</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出具</w:t>
      </w:r>
      <w:r>
        <w:rPr>
          <w:rFonts w:hint="eastAsia" w:ascii="仿宋_GB2312" w:hAnsi="仿宋_GB2312" w:eastAsia="仿宋_GB2312" w:cs="仿宋_GB2312"/>
          <w:b w:val="0"/>
          <w:bCs w:val="0"/>
          <w:i w:val="0"/>
          <w:iCs w:val="0"/>
          <w:caps w:val="0"/>
          <w:color w:val="auto"/>
          <w:spacing w:val="0"/>
          <w:sz w:val="32"/>
          <w:szCs w:val="32"/>
          <w:highlight w:val="none"/>
          <w:shd w:val="clear" w:fill="FFFFFF"/>
        </w:rPr>
        <w:t>的相关文件信息；</w:t>
      </w:r>
    </w:p>
    <w:p w14:paraId="7E792530">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（七）有关行政管理部门作出的涉及房地产企业信用通报等信息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p>
    <w:p w14:paraId="3BC301F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C00000"/>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信用信息的采集，应当以生效的判决书、裁决书、行政处罚决定书、通报等法律文书、书面文件或其他有效资料为依据，并将相关材料上传至信用系统。</w:t>
      </w:r>
    </w:p>
    <w:p w14:paraId="7139959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p>
    <w:p w14:paraId="058EE40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黑体" w:hAnsi="黑体" w:eastAsia="黑体" w:cs="黑体"/>
          <w:b w:val="0"/>
          <w:bCs w:val="0"/>
          <w:i w:val="0"/>
          <w:iCs w:val="0"/>
          <w:caps w:val="0"/>
          <w:color w:val="auto"/>
          <w:spacing w:val="0"/>
          <w:sz w:val="32"/>
          <w:szCs w:val="32"/>
          <w:highlight w:val="none"/>
          <w:shd w:val="clear" w:fill="FFFFFF"/>
        </w:rPr>
        <w:t>第三章  信用信息认定</w:t>
      </w:r>
    </w:p>
    <w:p w14:paraId="5991158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pPr>
      <w:r>
        <w:rPr>
          <w:rFonts w:hint="eastAsia" w:ascii="仿宋_GB2312" w:hAnsi="仿宋_GB2312" w:eastAsia="仿宋_GB2312" w:cs="仿宋_GB2312"/>
          <w:b/>
          <w:bCs/>
          <w:i w:val="0"/>
          <w:iCs w:val="0"/>
          <w:caps w:val="0"/>
          <w:color w:val="auto"/>
          <w:spacing w:val="0"/>
          <w:sz w:val="32"/>
          <w:szCs w:val="32"/>
          <w:highlight w:val="none"/>
          <w:shd w:val="clear" w:fill="FFFFFF"/>
        </w:rPr>
        <w:t>第十</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一</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基础信息、业绩信息由房地产企业自行填报，也可由负责部门从政府数据平台获取，房地产企业自行填报的，负责部门应当在</w:t>
      </w:r>
      <w:r>
        <w:rPr>
          <w:rFonts w:hint="eastAsia" w:ascii="仿宋_GB2312" w:hAnsi="仿宋_GB2312" w:eastAsia="仿宋_GB2312" w:cs="仿宋_GB2312"/>
          <w:b w:val="0"/>
          <w:bCs w:val="0"/>
          <w:i w:val="0"/>
          <w:iCs w:val="0"/>
          <w:caps w:val="0"/>
          <w:color w:val="auto"/>
          <w:spacing w:val="0"/>
          <w:sz w:val="32"/>
          <w:szCs w:val="32"/>
          <w:highlight w:val="none"/>
          <w:shd w:val="clear" w:fill="FFFFFF"/>
        </w:rPr>
        <w:t>5个工作日内审核完毕。</w:t>
      </w:r>
    </w:p>
    <w:p w14:paraId="2231F09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right="0" w:firstLine="643"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i w:val="0"/>
          <w:iCs w:val="0"/>
          <w:caps w:val="0"/>
          <w:color w:val="auto"/>
          <w:spacing w:val="0"/>
          <w:sz w:val="32"/>
          <w:szCs w:val="32"/>
          <w:highlight w:val="none"/>
          <w:shd w:val="clear" w:fill="FFFFFF"/>
        </w:rPr>
        <w:t>第十</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二</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良好信用信息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由负责部门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在信用信息系统</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采集</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填报，也可由</w:t>
      </w: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房地产企业在信用信息系统</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申报</w:t>
      </w:r>
      <w:r>
        <w:rPr>
          <w:rFonts w:hint="eastAsia" w:ascii="仿宋_GB2312" w:hAnsi="仿宋_GB2312" w:eastAsia="仿宋_GB2312" w:cs="仿宋_GB2312"/>
          <w:b w:val="0"/>
          <w:bCs w:val="0"/>
          <w:i w:val="0"/>
          <w:iCs w:val="0"/>
          <w:caps w:val="0"/>
          <w:color w:val="auto"/>
          <w:spacing w:val="0"/>
          <w:sz w:val="32"/>
          <w:szCs w:val="32"/>
          <w:highlight w:val="none"/>
          <w:shd w:val="clear" w:fill="FFFFFF"/>
        </w:rPr>
        <w:t>。企业</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良好信息由市</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10日内进行审核，审核通过后</w:t>
      </w:r>
      <w:r>
        <w:rPr>
          <w:rFonts w:hint="eastAsia" w:ascii="仿宋_GB2312" w:hAnsi="仿宋_GB2312" w:eastAsia="仿宋_GB2312" w:cs="仿宋_GB2312"/>
          <w:b w:val="0"/>
          <w:bCs w:val="0"/>
          <w:i w:val="0"/>
          <w:iCs w:val="0"/>
          <w:caps w:val="0"/>
          <w:color w:val="auto"/>
          <w:spacing w:val="0"/>
          <w:sz w:val="32"/>
          <w:szCs w:val="32"/>
          <w:highlight w:val="none"/>
          <w:shd w:val="clear" w:fill="FFFFFF"/>
        </w:rPr>
        <w:t>记入信用信息档案。</w:t>
      </w:r>
    </w:p>
    <w:p w14:paraId="5CB2489A">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第十</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三</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不良信用信息由</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负责</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采集</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填报</w:t>
      </w:r>
      <w:r>
        <w:rPr>
          <w:rFonts w:hint="eastAsia" w:ascii="仿宋_GB2312" w:hAnsi="仿宋_GB2312" w:eastAsia="仿宋_GB2312" w:cs="仿宋_GB2312"/>
          <w:b w:val="0"/>
          <w:bCs w:val="0"/>
          <w:i w:val="0"/>
          <w:iCs w:val="0"/>
          <w:caps w:val="0"/>
          <w:color w:val="auto"/>
          <w:spacing w:val="0"/>
          <w:sz w:val="32"/>
          <w:szCs w:val="32"/>
          <w:highlight w:val="none"/>
          <w:shd w:val="clear" w:fill="FFFFFF"/>
        </w:rPr>
        <w:t>后，应自</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填报</w:t>
      </w:r>
      <w:r>
        <w:rPr>
          <w:rFonts w:hint="eastAsia" w:ascii="仿宋_GB2312" w:hAnsi="仿宋_GB2312" w:eastAsia="仿宋_GB2312" w:cs="仿宋_GB2312"/>
          <w:b w:val="0"/>
          <w:bCs w:val="0"/>
          <w:i w:val="0"/>
          <w:iCs w:val="0"/>
          <w:caps w:val="0"/>
          <w:color w:val="auto"/>
          <w:spacing w:val="0"/>
          <w:sz w:val="32"/>
          <w:szCs w:val="32"/>
          <w:highlight w:val="none"/>
          <w:shd w:val="clear" w:fill="FFFFFF"/>
        </w:rPr>
        <w:t>之日起</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5</w:t>
      </w:r>
      <w:r>
        <w:rPr>
          <w:rFonts w:hint="eastAsia" w:ascii="仿宋_GB2312" w:hAnsi="仿宋_GB2312" w:eastAsia="仿宋_GB2312" w:cs="仿宋_GB2312"/>
          <w:b w:val="0"/>
          <w:bCs w:val="0"/>
          <w:i w:val="0"/>
          <w:iCs w:val="0"/>
          <w:caps w:val="0"/>
          <w:color w:val="auto"/>
          <w:spacing w:val="0"/>
          <w:sz w:val="32"/>
          <w:szCs w:val="32"/>
          <w:highlight w:val="none"/>
          <w:shd w:val="clear" w:fill="FFFFFF"/>
        </w:rPr>
        <w:t>个工作日内将预扣分的不良信用信息录入信用信息系统，并</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电话或</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短信</w:t>
      </w:r>
      <w:r>
        <w:rPr>
          <w:rFonts w:hint="eastAsia" w:ascii="仿宋_GB2312" w:hAnsi="仿宋_GB2312" w:eastAsia="仿宋_GB2312" w:cs="仿宋_GB2312"/>
          <w:b w:val="0"/>
          <w:bCs w:val="0"/>
          <w:i w:val="0"/>
          <w:iCs w:val="0"/>
          <w:caps w:val="0"/>
          <w:color w:val="auto"/>
          <w:spacing w:val="0"/>
          <w:sz w:val="32"/>
          <w:szCs w:val="32"/>
          <w:highlight w:val="none"/>
          <w:shd w:val="clear" w:fill="FFFFFF"/>
        </w:rPr>
        <w:t>通知预扣分对象。</w:t>
      </w:r>
    </w:p>
    <w:p w14:paraId="56717F7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房地产企业对预扣分的不良信用信息存在异议的，应当自收到通知之日起</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5个工作</w:t>
      </w:r>
      <w:r>
        <w:rPr>
          <w:rFonts w:hint="eastAsia" w:ascii="仿宋_GB2312" w:hAnsi="仿宋_GB2312" w:eastAsia="仿宋_GB2312" w:cs="仿宋_GB2312"/>
          <w:b w:val="0"/>
          <w:bCs w:val="0"/>
          <w:i w:val="0"/>
          <w:iCs w:val="0"/>
          <w:caps w:val="0"/>
          <w:color w:val="auto"/>
          <w:spacing w:val="0"/>
          <w:sz w:val="32"/>
          <w:szCs w:val="32"/>
          <w:highlight w:val="none"/>
          <w:shd w:val="clear" w:fill="FFFFFF"/>
        </w:rPr>
        <w:t>日内，通过信用信息系统上传签章的书面异议申请并提供相关证据。逾期未按规定提出异议的，不良信用信息记入信用信息档案。</w:t>
      </w:r>
    </w:p>
    <w:p w14:paraId="456B867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录入不良信用信息的</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，应当自收到异议申请之日起</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5</w:t>
      </w:r>
      <w:r>
        <w:rPr>
          <w:rFonts w:hint="eastAsia" w:ascii="仿宋_GB2312" w:hAnsi="仿宋_GB2312" w:eastAsia="仿宋_GB2312" w:cs="仿宋_GB2312"/>
          <w:b w:val="0"/>
          <w:bCs w:val="0"/>
          <w:i w:val="0"/>
          <w:iCs w:val="0"/>
          <w:caps w:val="0"/>
          <w:color w:val="auto"/>
          <w:spacing w:val="0"/>
          <w:sz w:val="32"/>
          <w:szCs w:val="32"/>
          <w:highlight w:val="none"/>
          <w:shd w:val="clear" w:fill="FFFFFF"/>
        </w:rPr>
        <w:t>个工作日内完成调查，并将调查结果告知异议申请人。异议成立的，不予认定为不良信用信息</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已录入系统的，撤销并不予认定为不良信息</w:t>
      </w:r>
      <w:r>
        <w:rPr>
          <w:rFonts w:hint="eastAsia" w:ascii="仿宋_GB2312" w:hAnsi="仿宋_GB2312" w:eastAsia="仿宋_GB2312" w:cs="仿宋_GB2312"/>
          <w:b w:val="0"/>
          <w:bCs w:val="0"/>
          <w:i w:val="0"/>
          <w:iCs w:val="0"/>
          <w:caps w:val="0"/>
          <w:color w:val="auto"/>
          <w:spacing w:val="0"/>
          <w:sz w:val="32"/>
          <w:szCs w:val="32"/>
          <w:highlight w:val="none"/>
          <w:shd w:val="clear" w:fill="FFFFFF"/>
        </w:rPr>
        <w:t>；异议不成立的，不良信用信息记入信用信息档案。</w:t>
      </w:r>
    </w:p>
    <w:p w14:paraId="2539A2E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9"/>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第十</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四</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信用信息经采集、记入信用信息档案后，任何单位和个人不得擅自修改、增删。</w:t>
      </w:r>
    </w:p>
    <w:p w14:paraId="4FB7777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9"/>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p>
    <w:p w14:paraId="359E6BE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黑体" w:hAnsi="黑体" w:eastAsia="黑体" w:cs="黑体"/>
          <w:b w:val="0"/>
          <w:bCs w:val="0"/>
          <w:i w:val="0"/>
          <w:iCs w:val="0"/>
          <w:caps w:val="0"/>
          <w:color w:val="auto"/>
          <w:spacing w:val="0"/>
          <w:sz w:val="32"/>
          <w:szCs w:val="32"/>
          <w:highlight w:val="none"/>
          <w:shd w:val="clear" w:fill="FFFFFF"/>
        </w:rPr>
        <w:t>第四章  信用</w:t>
      </w:r>
      <w:r>
        <w:rPr>
          <w:rFonts w:hint="eastAsia" w:ascii="黑体" w:hAnsi="黑体" w:eastAsia="黑体" w:cs="黑体"/>
          <w:b w:val="0"/>
          <w:bCs w:val="0"/>
          <w:i w:val="0"/>
          <w:iCs w:val="0"/>
          <w:caps w:val="0"/>
          <w:color w:val="auto"/>
          <w:spacing w:val="0"/>
          <w:sz w:val="32"/>
          <w:szCs w:val="32"/>
          <w:highlight w:val="none"/>
          <w:shd w:val="clear" w:fill="FFFFFF"/>
          <w:lang w:val="en-US" w:eastAsia="zh-CN"/>
        </w:rPr>
        <w:t>等级</w:t>
      </w:r>
      <w:r>
        <w:rPr>
          <w:rFonts w:hint="eastAsia" w:ascii="黑体" w:hAnsi="黑体" w:eastAsia="黑体" w:cs="黑体"/>
          <w:b w:val="0"/>
          <w:bCs w:val="0"/>
          <w:i w:val="0"/>
          <w:iCs w:val="0"/>
          <w:caps w:val="0"/>
          <w:color w:val="auto"/>
          <w:spacing w:val="0"/>
          <w:sz w:val="32"/>
          <w:szCs w:val="32"/>
          <w:highlight w:val="none"/>
          <w:shd w:val="clear" w:fill="FFFFFF"/>
        </w:rPr>
        <w:t>评价</w:t>
      </w:r>
    </w:p>
    <w:p w14:paraId="7E185E1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第十</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五</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企业的信用评分满分为1000分，信用评分起评分值为600分，</w:t>
      </w:r>
      <w:r>
        <w:rPr>
          <w:rFonts w:hint="eastAsia" w:ascii="仿宋_GB2312" w:hAnsi="仿宋_GB2312" w:eastAsia="仿宋_GB2312" w:cs="仿宋_GB2312"/>
          <w:b w:val="0"/>
          <w:bCs w:val="0"/>
          <w:i w:val="0"/>
          <w:iCs w:val="0"/>
          <w:caps w:val="0"/>
          <w:color w:val="auto"/>
          <w:spacing w:val="0"/>
          <w:sz w:val="32"/>
          <w:szCs w:val="32"/>
          <w:highlight w:val="none"/>
          <w:shd w:val="clear" w:fill="FFFFFF"/>
        </w:rPr>
        <w:t>企业的信用等级分为</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A</w:t>
      </w:r>
      <w:r>
        <w:rPr>
          <w:rFonts w:hint="eastAsia" w:ascii="仿宋_GB2312" w:hAnsi="仿宋_GB2312" w:eastAsia="仿宋_GB2312" w:cs="仿宋_GB2312"/>
          <w:b w:val="0"/>
          <w:bCs w:val="0"/>
          <w:i w:val="0"/>
          <w:iCs w:val="0"/>
          <w:caps w:val="0"/>
          <w:color w:val="auto"/>
          <w:spacing w:val="0"/>
          <w:sz w:val="32"/>
          <w:szCs w:val="32"/>
          <w:highlight w:val="none"/>
          <w:shd w:val="clear" w:fill="FFFFFF"/>
        </w:rPr>
        <w:t>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、B</w:t>
      </w:r>
      <w:r>
        <w:rPr>
          <w:rFonts w:hint="eastAsia" w:ascii="仿宋_GB2312" w:hAnsi="仿宋_GB2312" w:eastAsia="仿宋_GB2312" w:cs="仿宋_GB2312"/>
          <w:b w:val="0"/>
          <w:bCs w:val="0"/>
          <w:i w:val="0"/>
          <w:iCs w:val="0"/>
          <w:caps w:val="0"/>
          <w:color w:val="auto"/>
          <w:spacing w:val="0"/>
          <w:sz w:val="32"/>
          <w:szCs w:val="32"/>
          <w:highlight w:val="none"/>
          <w:shd w:val="clear" w:fill="FFFFFF"/>
        </w:rPr>
        <w:t>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C</w:t>
      </w:r>
      <w:r>
        <w:rPr>
          <w:rFonts w:hint="eastAsia" w:ascii="仿宋_GB2312" w:hAnsi="仿宋_GB2312" w:eastAsia="仿宋_GB2312" w:cs="仿宋_GB2312"/>
          <w:b w:val="0"/>
          <w:bCs w:val="0"/>
          <w:i w:val="0"/>
          <w:iCs w:val="0"/>
          <w:caps w:val="0"/>
          <w:color w:val="auto"/>
          <w:spacing w:val="0"/>
          <w:sz w:val="32"/>
          <w:szCs w:val="32"/>
          <w:highlight w:val="none"/>
          <w:shd w:val="clear" w:fill="FFFFFF"/>
        </w:rPr>
        <w:t>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D</w:t>
      </w:r>
      <w:r>
        <w:rPr>
          <w:rFonts w:hint="eastAsia" w:ascii="仿宋_GB2312" w:hAnsi="仿宋_GB2312" w:eastAsia="仿宋_GB2312" w:cs="仿宋_GB2312"/>
          <w:b w:val="0"/>
          <w:bCs w:val="0"/>
          <w:i w:val="0"/>
          <w:iCs w:val="0"/>
          <w:caps w:val="0"/>
          <w:color w:val="auto"/>
          <w:spacing w:val="0"/>
          <w:sz w:val="32"/>
          <w:szCs w:val="32"/>
          <w:highlight w:val="none"/>
          <w:shd w:val="clear" w:fill="FFFFFF"/>
        </w:rPr>
        <w:t>级</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四</w:t>
      </w:r>
      <w:r>
        <w:rPr>
          <w:rFonts w:hint="eastAsia" w:ascii="仿宋_GB2312" w:hAnsi="仿宋_GB2312" w:eastAsia="仿宋_GB2312" w:cs="仿宋_GB2312"/>
          <w:b w:val="0"/>
          <w:bCs w:val="0"/>
          <w:i w:val="0"/>
          <w:iCs w:val="0"/>
          <w:caps w:val="0"/>
          <w:color w:val="auto"/>
          <w:spacing w:val="0"/>
          <w:sz w:val="32"/>
          <w:szCs w:val="32"/>
          <w:highlight w:val="none"/>
          <w:shd w:val="clear" w:fill="FFFFFF"/>
        </w:rPr>
        <w:t>个等级。</w:t>
      </w:r>
    </w:p>
    <w:p w14:paraId="5C6100C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default"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A级为900以上，1年内无失信行为记录，信用状况良好；B级为800分-899分，1年内无失信行为记录，信用状况良好；C级为500分-799分；D级为499分以下。本办法所称以上、以下均包含本数值。</w:t>
      </w:r>
    </w:p>
    <w:p w14:paraId="0DD56760">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十六</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shd w:val="clear" w:fill="FFFFFF"/>
        </w:rPr>
        <w:t>信用分值</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=信用评分起评分+</w:t>
      </w:r>
      <w:r>
        <w:rPr>
          <w:rFonts w:hint="eastAsia" w:ascii="仿宋_GB2312" w:hAnsi="仿宋_GB2312" w:eastAsia="仿宋_GB2312" w:cs="仿宋_GB2312"/>
          <w:b w:val="0"/>
          <w:bCs w:val="0"/>
          <w:i w:val="0"/>
          <w:iCs w:val="0"/>
          <w:caps w:val="0"/>
          <w:color w:val="auto"/>
          <w:spacing w:val="0"/>
          <w:sz w:val="32"/>
          <w:szCs w:val="32"/>
          <w:highlight w:val="none"/>
          <w:shd w:val="clear" w:fill="FFFFFF"/>
        </w:rPr>
        <w:t>良好信用信息加分</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rPr>
        <w:t>不良信用信息减分。</w:t>
      </w:r>
    </w:p>
    <w:p w14:paraId="3CCD6FC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第十七条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计分采取信息系统实时计分和年度计分相结合的模式进行，具体详见附表。</w:t>
      </w:r>
    </w:p>
    <w:p w14:paraId="32E0FCD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pPr>
    </w:p>
    <w:p w14:paraId="4E18B5C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黑体" w:hAnsi="黑体" w:eastAsia="黑体" w:cs="黑体"/>
          <w:b w:val="0"/>
          <w:bCs w:val="0"/>
          <w:i w:val="0"/>
          <w:iCs w:val="0"/>
          <w:caps w:val="0"/>
          <w:color w:val="auto"/>
          <w:spacing w:val="0"/>
          <w:sz w:val="32"/>
          <w:szCs w:val="32"/>
          <w:highlight w:val="none"/>
          <w:shd w:val="clear" w:fill="FFFFFF"/>
        </w:rPr>
        <w:t>第</w:t>
      </w:r>
      <w:r>
        <w:rPr>
          <w:rFonts w:hint="eastAsia" w:ascii="黑体" w:hAnsi="黑体" w:eastAsia="黑体" w:cs="黑体"/>
          <w:b w:val="0"/>
          <w:bCs w:val="0"/>
          <w:i w:val="0"/>
          <w:iCs w:val="0"/>
          <w:caps w:val="0"/>
          <w:color w:val="auto"/>
          <w:spacing w:val="0"/>
          <w:sz w:val="32"/>
          <w:szCs w:val="32"/>
          <w:highlight w:val="none"/>
          <w:shd w:val="clear" w:fill="FFFFFF"/>
          <w:lang w:val="en-US" w:eastAsia="zh-CN"/>
        </w:rPr>
        <w:t>五</w:t>
      </w:r>
      <w:r>
        <w:rPr>
          <w:rFonts w:hint="eastAsia" w:ascii="黑体" w:hAnsi="黑体" w:eastAsia="黑体" w:cs="黑体"/>
          <w:b w:val="0"/>
          <w:bCs w:val="0"/>
          <w:i w:val="0"/>
          <w:iCs w:val="0"/>
          <w:caps w:val="0"/>
          <w:color w:val="auto"/>
          <w:spacing w:val="0"/>
          <w:sz w:val="32"/>
          <w:szCs w:val="32"/>
          <w:highlight w:val="none"/>
          <w:shd w:val="clear" w:fill="FFFFFF"/>
        </w:rPr>
        <w:t>章  信用评价结果使用</w:t>
      </w:r>
    </w:p>
    <w:p w14:paraId="3F9E9C2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第十八条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对A级房地产开发企业予以下列激励措施：</w:t>
      </w:r>
    </w:p>
    <w:p w14:paraId="30F4793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1.优先推荐参与住建系统评先、评优； </w:t>
      </w:r>
    </w:p>
    <w:p w14:paraId="7F00DAF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2.在住建系统相关业务办理过程中依法给予“绿色通道”“优先办理”等便利服务措施；</w:t>
      </w:r>
    </w:p>
    <w:p w14:paraId="13615F9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3.可将开发企业重点预售资金监管比例额度调整为重点监管资金总额的80%；</w:t>
      </w:r>
    </w:p>
    <w:p w14:paraId="1C7E7E9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4.可优先批准商业银行出具保函置换预售监管资金事项；</w:t>
      </w:r>
    </w:p>
    <w:p w14:paraId="06864F3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5.法律、法规、政策规定可以采取的其他激励措施。 </w:t>
      </w:r>
    </w:p>
    <w:p w14:paraId="68B2274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第十九条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对B级房地产开发企业予以下列激励措施： </w:t>
      </w:r>
    </w:p>
    <w:p w14:paraId="2B89D9E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bCs/>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1.在相关业务办理过程中依法给予相关便利措施，审批业务优先办理；</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 xml:space="preserve"> </w:t>
      </w:r>
    </w:p>
    <w:p w14:paraId="470C6CE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2.可批准商业银行出具保函置换预售监管资金事项；</w:t>
      </w:r>
    </w:p>
    <w:p w14:paraId="1273D9F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3.法律、法规、政策规定可以采取的其他激励措施。</w:t>
      </w:r>
    </w:p>
    <w:p w14:paraId="093F71C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对C级房地产开发企业按照有关法律、法规常态监管。 </w:t>
      </w:r>
    </w:p>
    <w:p w14:paraId="481FB31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第二十一条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对D级房地产开发企业予以下列措施：</w:t>
      </w:r>
    </w:p>
    <w:p w14:paraId="46CD25B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1.对其法定代表人或项目负责人进行约谈、告诫； </w:t>
      </w:r>
    </w:p>
    <w:p w14:paraId="3E716BC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2.向相关部门发出预警提示或建议函； </w:t>
      </w:r>
    </w:p>
    <w:p w14:paraId="3CE80DC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3.限制其参加表彰、评先、评优活动； </w:t>
      </w:r>
    </w:p>
    <w:p w14:paraId="35A52D1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4.对预售资金使用情况实行全过程监管，重点预售资金监管比例额度调整为重点监管资金总额的120%； </w:t>
      </w:r>
    </w:p>
    <w:p w14:paraId="47F9769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5.限制其申请省、市大气污染物防治或建筑节能补助奖励资金；</w:t>
      </w:r>
    </w:p>
    <w:p w14:paraId="073989A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6.法律、法规、政策规定的其他措施。</w:t>
      </w:r>
    </w:p>
    <w:p w14:paraId="126A5C3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第二十二条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房地产经纪机构和房地产评估机构的激励或惩戒措施参照第十八条至二十一条执行，对于A级房地产经纪机构和房地产估价机构，可积极向银行、法院等相关部门推荐，建议优先选择。</w:t>
      </w:r>
    </w:p>
    <w:p w14:paraId="30A9EFE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第二十三条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房地产企业在规定期限内纠正失信行为、消除不良影响的，可通过作出信用承诺、完成信用整改、参加行业培训、提交信用报告、参加公益慈善活动等方式开展信用修复。</w:t>
      </w:r>
    </w:p>
    <w:p w14:paraId="7206549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第二十四条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符合信用修复条件的，房地产企业可以向</w:t>
      </w:r>
      <w:r>
        <w:rPr>
          <w:rFonts w:hint="eastAsia" w:ascii="仿宋_GB2312" w:hAnsi="仿宋_GB2312" w:eastAsia="仿宋_GB2312" w:cs="仿宋_GB2312"/>
          <w:b w:val="0"/>
          <w:bCs w:val="0"/>
          <w:i w:val="0"/>
          <w:iCs w:val="0"/>
          <w:caps w:val="0"/>
          <w:strike w:val="0"/>
          <w:dstrike w:val="0"/>
          <w:color w:val="auto"/>
          <w:spacing w:val="0"/>
          <w:sz w:val="32"/>
          <w:szCs w:val="32"/>
          <w:highlight w:val="none"/>
          <w:shd w:val="clear" w:fill="FFFFFF"/>
          <w:lang w:val="en-US" w:eastAsia="zh-CN"/>
        </w:rPr>
        <w:t>有关部门</w:t>
      </w:r>
      <w:r>
        <w:rPr>
          <w:rFonts w:hint="eastAsia" w:ascii="仿宋_GB2312" w:hAnsi="仿宋_GB2312" w:eastAsia="仿宋_GB2312" w:cs="仿宋_GB2312"/>
          <w:b w:val="0"/>
          <w:bCs w:val="0"/>
          <w:i w:val="0"/>
          <w:iCs w:val="0"/>
          <w:caps w:val="0"/>
          <w:strike w:val="0"/>
          <w:color w:val="auto"/>
          <w:spacing w:val="0"/>
          <w:sz w:val="32"/>
          <w:szCs w:val="32"/>
          <w:highlight w:val="none"/>
          <w:shd w:val="clear" w:fill="FFFFFF"/>
          <w:lang w:val="en-US" w:eastAsia="zh-CN"/>
        </w:rPr>
        <w:t>提</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出修复申请，符合信用修复条件的，相关单位应当予以修复，作为调整其信用评价结果和记</w:t>
      </w:r>
      <w:bookmarkStart w:id="0" w:name="_GoBack"/>
      <w:bookmarkEnd w:id="0"/>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录的依据。</w:t>
      </w:r>
    </w:p>
    <w:p w14:paraId="09CAB5B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p>
    <w:p w14:paraId="022991B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r>
        <w:rPr>
          <w:rFonts w:hint="eastAsia" w:ascii="黑体" w:hAnsi="黑体" w:eastAsia="黑体" w:cs="黑体"/>
          <w:b w:val="0"/>
          <w:bCs w:val="0"/>
          <w:i w:val="0"/>
          <w:iCs w:val="0"/>
          <w:caps w:val="0"/>
          <w:color w:val="auto"/>
          <w:spacing w:val="0"/>
          <w:sz w:val="32"/>
          <w:szCs w:val="32"/>
          <w:highlight w:val="none"/>
          <w:shd w:val="clear" w:fill="FFFFFF"/>
        </w:rPr>
        <w:t>第</w:t>
      </w:r>
      <w:r>
        <w:rPr>
          <w:rFonts w:hint="eastAsia" w:ascii="黑体" w:hAnsi="黑体" w:eastAsia="黑体" w:cs="黑体"/>
          <w:b w:val="0"/>
          <w:bCs w:val="0"/>
          <w:i w:val="0"/>
          <w:iCs w:val="0"/>
          <w:caps w:val="0"/>
          <w:color w:val="auto"/>
          <w:spacing w:val="0"/>
          <w:sz w:val="32"/>
          <w:szCs w:val="32"/>
          <w:highlight w:val="none"/>
          <w:shd w:val="clear" w:fill="FFFFFF"/>
          <w:lang w:val="en-US" w:eastAsia="zh-CN"/>
        </w:rPr>
        <w:t>六</w:t>
      </w:r>
      <w:r>
        <w:rPr>
          <w:rFonts w:hint="eastAsia" w:ascii="黑体" w:hAnsi="黑体" w:eastAsia="黑体" w:cs="黑体"/>
          <w:b w:val="0"/>
          <w:bCs w:val="0"/>
          <w:i w:val="0"/>
          <w:iCs w:val="0"/>
          <w:caps w:val="0"/>
          <w:color w:val="auto"/>
          <w:spacing w:val="0"/>
          <w:sz w:val="32"/>
          <w:szCs w:val="32"/>
          <w:highlight w:val="none"/>
          <w:shd w:val="clear" w:fill="FFFFFF"/>
        </w:rPr>
        <w:t>章  法律责任</w:t>
      </w:r>
    </w:p>
    <w:p w14:paraId="0C79103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二十五</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房地产</w:t>
      </w:r>
      <w:r>
        <w:rPr>
          <w:rFonts w:hint="eastAsia" w:ascii="仿宋_GB2312" w:hAnsi="仿宋_GB2312" w:eastAsia="仿宋_GB2312" w:cs="仿宋_GB2312"/>
          <w:b w:val="0"/>
          <w:bCs w:val="0"/>
          <w:i w:val="0"/>
          <w:iCs w:val="0"/>
          <w:caps w:val="0"/>
          <w:color w:val="auto"/>
          <w:spacing w:val="0"/>
          <w:sz w:val="32"/>
          <w:szCs w:val="32"/>
          <w:highlight w:val="none"/>
          <w:shd w:val="clear" w:fill="FFFFFF"/>
        </w:rPr>
        <w:t>企业提交虚假材料、填写虚假信息或隐瞒相关信息骗取加分或避免扣分的，</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rPr>
        <w:t>应按本办法有关规定予以扣分。</w:t>
      </w:r>
    </w:p>
    <w:p w14:paraId="29FE99D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二十六</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市、县（市、区）</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住建部门</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应当严格按照本办法开展房地产企业信用信息管理。从事信用评价工作的相关人员</w:t>
      </w:r>
      <w:r>
        <w:rPr>
          <w:rFonts w:hint="eastAsia" w:ascii="仿宋_GB2312" w:hAnsi="仿宋_GB2312" w:eastAsia="仿宋_GB2312" w:cs="仿宋_GB2312"/>
          <w:b w:val="0"/>
          <w:bCs w:val="0"/>
          <w:i w:val="0"/>
          <w:iCs w:val="0"/>
          <w:caps w:val="0"/>
          <w:color w:val="auto"/>
          <w:spacing w:val="0"/>
          <w:sz w:val="32"/>
          <w:szCs w:val="32"/>
          <w:highlight w:val="none"/>
          <w:shd w:val="clear" w:fill="FFFFFF"/>
        </w:rPr>
        <w:t>徇私舞弊、玩忽职守</w:t>
      </w:r>
      <w:r>
        <w:rPr>
          <w:rFonts w:hint="eastAsia" w:ascii="仿宋_GB2312" w:hAnsi="仿宋_GB2312" w:eastAsia="仿宋_GB2312" w:cs="仿宋_GB2312"/>
          <w:b w:val="0"/>
          <w:bCs w:val="0"/>
          <w:i w:val="0"/>
          <w:iCs w:val="0"/>
          <w:caps w:val="0"/>
          <w:color w:val="auto"/>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滥用职权的，依法依规追究相应责任</w:t>
      </w:r>
      <w:r>
        <w:rPr>
          <w:rFonts w:hint="eastAsia" w:ascii="仿宋_GB2312" w:hAnsi="仿宋_GB2312" w:eastAsia="仿宋_GB2312" w:cs="仿宋_GB2312"/>
          <w:b w:val="0"/>
          <w:bCs w:val="0"/>
          <w:i w:val="0"/>
          <w:iCs w:val="0"/>
          <w:caps w:val="0"/>
          <w:color w:val="auto"/>
          <w:spacing w:val="0"/>
          <w:sz w:val="32"/>
          <w:szCs w:val="32"/>
          <w:highlight w:val="none"/>
          <w:shd w:val="clear" w:fill="FFFFFF"/>
        </w:rPr>
        <w:t>。</w:t>
      </w:r>
    </w:p>
    <w:p w14:paraId="22AA27F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黑体" w:hAnsi="黑体" w:eastAsia="黑体" w:cs="黑体"/>
          <w:b w:val="0"/>
          <w:bCs w:val="0"/>
          <w:i w:val="0"/>
          <w:iCs w:val="0"/>
          <w:caps w:val="0"/>
          <w:color w:val="auto"/>
          <w:spacing w:val="0"/>
          <w:sz w:val="32"/>
          <w:szCs w:val="32"/>
          <w:highlight w:val="none"/>
          <w:shd w:val="clear" w:fill="FFFFFF"/>
        </w:rPr>
      </w:pPr>
    </w:p>
    <w:p w14:paraId="211CFE1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center"/>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黑体" w:hAnsi="黑体" w:eastAsia="黑体" w:cs="黑体"/>
          <w:b w:val="0"/>
          <w:bCs w:val="0"/>
          <w:i w:val="0"/>
          <w:iCs w:val="0"/>
          <w:caps w:val="0"/>
          <w:color w:val="auto"/>
          <w:spacing w:val="0"/>
          <w:sz w:val="32"/>
          <w:szCs w:val="32"/>
          <w:highlight w:val="none"/>
          <w:shd w:val="clear" w:fill="FFFFFF"/>
        </w:rPr>
        <w:t>第</w:t>
      </w:r>
      <w:r>
        <w:rPr>
          <w:rFonts w:hint="eastAsia" w:ascii="黑体" w:hAnsi="黑体" w:eastAsia="黑体" w:cs="黑体"/>
          <w:b w:val="0"/>
          <w:bCs w:val="0"/>
          <w:i w:val="0"/>
          <w:iCs w:val="0"/>
          <w:caps w:val="0"/>
          <w:color w:val="auto"/>
          <w:spacing w:val="0"/>
          <w:sz w:val="32"/>
          <w:szCs w:val="32"/>
          <w:highlight w:val="none"/>
          <w:shd w:val="clear" w:fill="FFFFFF"/>
          <w:lang w:val="en-US" w:eastAsia="zh-CN"/>
        </w:rPr>
        <w:t>七</w:t>
      </w:r>
      <w:r>
        <w:rPr>
          <w:rFonts w:hint="eastAsia" w:ascii="黑体" w:hAnsi="黑体" w:eastAsia="黑体" w:cs="黑体"/>
          <w:b w:val="0"/>
          <w:bCs w:val="0"/>
          <w:i w:val="0"/>
          <w:iCs w:val="0"/>
          <w:caps w:val="0"/>
          <w:color w:val="auto"/>
          <w:spacing w:val="0"/>
          <w:sz w:val="32"/>
          <w:szCs w:val="32"/>
          <w:highlight w:val="none"/>
          <w:shd w:val="clear" w:fill="FFFFFF"/>
        </w:rPr>
        <w:t>章  附 则</w:t>
      </w:r>
    </w:p>
    <w:p w14:paraId="4FC84E2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bCs/>
          <w:i w:val="0"/>
          <w:iCs w:val="0"/>
          <w:caps w:val="0"/>
          <w:color w:val="auto"/>
          <w:spacing w:val="0"/>
          <w:sz w:val="32"/>
          <w:szCs w:val="32"/>
          <w:highlight w:val="none"/>
          <w:shd w:val="clear" w:fill="FFFFFF"/>
        </w:rPr>
        <w:t>第</w:t>
      </w: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二十七</w:t>
      </w:r>
      <w:r>
        <w:rPr>
          <w:rFonts w:hint="eastAsia" w:ascii="仿宋_GB2312" w:hAnsi="仿宋_GB2312" w:eastAsia="仿宋_GB2312" w:cs="仿宋_GB2312"/>
          <w:b/>
          <w:bCs/>
          <w:i w:val="0"/>
          <w:iCs w:val="0"/>
          <w:caps w:val="0"/>
          <w:color w:val="auto"/>
          <w:spacing w:val="0"/>
          <w:sz w:val="32"/>
          <w:szCs w:val="32"/>
          <w:highlight w:val="none"/>
          <w:shd w:val="clear" w:fill="FFFFFF"/>
        </w:rPr>
        <w:t>条</w:t>
      </w:r>
      <w:r>
        <w:rPr>
          <w:rFonts w:hint="eastAsia" w:ascii="仿宋_GB2312" w:hAnsi="仿宋_GB2312" w:eastAsia="仿宋_GB2312" w:cs="仿宋_GB2312"/>
          <w:b w:val="0"/>
          <w:bCs w:val="0"/>
          <w:i w:val="0"/>
          <w:iCs w:val="0"/>
          <w:caps w:val="0"/>
          <w:color w:val="auto"/>
          <w:spacing w:val="0"/>
          <w:sz w:val="32"/>
          <w:szCs w:val="32"/>
          <w:highlight w:val="none"/>
          <w:shd w:val="clear" w:fill="FFFFFF"/>
        </w:rPr>
        <w:t> 本办法由</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石家庄</w:t>
      </w:r>
      <w:r>
        <w:rPr>
          <w:rFonts w:hint="eastAsia" w:ascii="仿宋_GB2312" w:hAnsi="仿宋_GB2312" w:eastAsia="仿宋_GB2312" w:cs="仿宋_GB2312"/>
          <w:b w:val="0"/>
          <w:bCs w:val="0"/>
          <w:i w:val="0"/>
          <w:iCs w:val="0"/>
          <w:caps w:val="0"/>
          <w:color w:val="auto"/>
          <w:spacing w:val="0"/>
          <w:sz w:val="32"/>
          <w:szCs w:val="32"/>
          <w:highlight w:val="none"/>
          <w:shd w:val="clear" w:fill="FFFFFF"/>
        </w:rPr>
        <w:t>市住房和城乡建设局负责解释。</w:t>
      </w:r>
    </w:p>
    <w:p w14:paraId="018946C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jc w:val="both"/>
        <w:textAlignment w:val="auto"/>
        <w:rPr>
          <w:rFonts w:hint="default" w:ascii="仿宋_GB2312" w:hAnsi="仿宋_GB2312" w:eastAsia="仿宋_GB2312" w:cs="仿宋_GB2312"/>
          <w:b w:val="0"/>
          <w:bCs w:val="0"/>
          <w:i w:val="0"/>
          <w:iCs w:val="0"/>
          <w:caps w:val="0"/>
          <w:color w:val="auto"/>
          <w:spacing w:val="0"/>
          <w:sz w:val="32"/>
          <w:szCs w:val="32"/>
          <w:highlight w:val="none"/>
          <w:shd w:val="clear" w:fill="FFFFFF"/>
          <w:lang w:val="en-US" w:eastAsia="zh-CN"/>
        </w:rPr>
      </w:pPr>
      <w:r>
        <w:rPr>
          <w:rFonts w:hint="eastAsia" w:ascii="仿宋_GB2312" w:hAnsi="仿宋_GB2312" w:eastAsia="仿宋_GB2312" w:cs="仿宋_GB2312"/>
          <w:b/>
          <w:bCs/>
          <w:i w:val="0"/>
          <w:iCs w:val="0"/>
          <w:caps w:val="0"/>
          <w:color w:val="auto"/>
          <w:spacing w:val="0"/>
          <w:sz w:val="32"/>
          <w:szCs w:val="32"/>
          <w:highlight w:val="none"/>
          <w:shd w:val="clear" w:fill="FFFFFF"/>
          <w:lang w:val="en-US" w:eastAsia="zh-CN"/>
        </w:rPr>
        <w:t>第二十八条</w:t>
      </w:r>
      <w:r>
        <w:rPr>
          <w:rFonts w:hint="eastAsia" w:ascii="仿宋_GB2312" w:hAnsi="仿宋_GB2312" w:eastAsia="仿宋_GB2312" w:cs="仿宋_GB2312"/>
          <w:b w:val="0"/>
          <w:bCs w:val="0"/>
          <w:i w:val="0"/>
          <w:iCs w:val="0"/>
          <w:caps w:val="0"/>
          <w:color w:val="auto"/>
          <w:spacing w:val="0"/>
          <w:sz w:val="32"/>
          <w:szCs w:val="32"/>
          <w:highlight w:val="none"/>
          <w:shd w:val="clear" w:fill="FFFFFF"/>
          <w:lang w:val="en-US" w:eastAsia="zh-CN"/>
        </w:rPr>
        <w:t xml:space="preserve"> 本办法自2026年8月1日起执行，有效期5年。</w:t>
      </w:r>
    </w:p>
    <w:p w14:paraId="52FE69A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shd w:val="clear" w:fill="FFFFFF"/>
        </w:rPr>
        <w:t>　　</w:t>
      </w:r>
    </w:p>
    <w:p w14:paraId="58F09B4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t>附件：</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"http://www.chancheng.gov.cn/fscccjslj/attachment/0/166/166104/4727008.xls"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1.房地产开发</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企业加分标准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63A99B0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"http://www.chancheng.gov.cn/fscccjslj/attachment/0/166/166108/4727008.xls"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2.房地产开发</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企业扣分标准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5F831DA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"http://www.chancheng.gov.cn/fscccjslj/attachment/0/166/166104/4727008.xls"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3.房地产经纪机构</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加分标准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400D4EE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"http://www.chancheng.gov.cn/fscccjslj/attachment/0/166/166108/4727008.xls"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4.房地产经纪机构</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扣分标准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771BDB6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1600" w:firstLineChars="5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"http://www.chancheng.gov.cn/fscccjslj/attachment/0/166/166104/4727008.xls"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5.房地产评估机构</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加分标准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7A7E210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val="0"/>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t>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begin"/>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instrText xml:space="preserve"> HYPERLINK "http://www.chancheng.gov.cn/fscccjslj/attachment/0/166/166108/4727008.xls" \t "http://www.chancheng.gov.cn/fscccjslj/gkmlpt/content/4/4727/_blank" </w:instrTex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separate"/>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lang w:val="en-US" w:eastAsia="zh-CN"/>
        </w:rPr>
        <w:t>6.房地产评估机构</w:t>
      </w:r>
      <w:r>
        <w:rPr>
          <w:rStyle w:val="8"/>
          <w:rFonts w:hint="eastAsia" w:ascii="仿宋_GB2312" w:hAnsi="仿宋_GB2312" w:eastAsia="仿宋_GB2312" w:cs="仿宋_GB2312"/>
          <w:b w:val="0"/>
          <w:bCs w:val="0"/>
          <w:i w:val="0"/>
          <w:iCs w:val="0"/>
          <w:caps w:val="0"/>
          <w:color w:val="auto"/>
          <w:spacing w:val="0"/>
          <w:sz w:val="32"/>
          <w:szCs w:val="32"/>
          <w:highlight w:val="none"/>
          <w:u w:val="none"/>
          <w:shd w:val="clear" w:fill="FFFFFF"/>
        </w:rPr>
        <w:t>扣分标准</w:t>
      </w:r>
      <w:r>
        <w:rPr>
          <w:rFonts w:hint="eastAsia" w:ascii="仿宋_GB2312" w:hAnsi="仿宋_GB2312" w:eastAsia="仿宋_GB2312" w:cs="仿宋_GB2312"/>
          <w:b w:val="0"/>
          <w:bCs w:val="0"/>
          <w:i w:val="0"/>
          <w:iCs w:val="0"/>
          <w:caps w:val="0"/>
          <w:color w:val="auto"/>
          <w:spacing w:val="0"/>
          <w:sz w:val="32"/>
          <w:szCs w:val="32"/>
          <w:highlight w:val="none"/>
          <w:u w:val="none"/>
          <w:shd w:val="clear" w:fill="FFFFFF"/>
        </w:rPr>
        <w:fldChar w:fldCharType="end"/>
      </w:r>
    </w:p>
    <w:p w14:paraId="57F98913">
      <w:pPr>
        <w:keepNext w:val="0"/>
        <w:keepLines w:val="0"/>
        <w:pageBreakBefore w:val="0"/>
        <w:overflowPunct/>
        <w:topLinePunct w:val="0"/>
        <w:bidi w:val="0"/>
        <w:snapToGrid w:val="0"/>
        <w:spacing w:line="560" w:lineRule="exact"/>
        <w:jc w:val="both"/>
        <w:rPr>
          <w:rFonts w:hint="eastAsia" w:ascii="FangSong_GB2312" w:hAnsi="FangSong_GB2312" w:eastAsia="FangSong_GB2312" w:cs="FangSong_GB2312"/>
          <w:sz w:val="29"/>
          <w:szCs w:val="29"/>
          <w:lang w:eastAsia="zh-CN"/>
        </w:rPr>
      </w:pPr>
    </w:p>
    <w:sectPr>
      <w:footerReference r:id="rId5" w:type="default"/>
      <w:pgSz w:w="11900" w:h="16840"/>
      <w:pgMar w:top="1984" w:right="1701" w:bottom="1701" w:left="1701" w:header="0" w:footer="683"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95E8C">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4772660</wp:posOffset>
              </wp:positionH>
              <wp:positionV relativeFrom="paragraph">
                <wp:posOffset>-484505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290411">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5.8pt;margin-top:-38.15pt;height:144pt;width:144pt;mso-position-horizontal-relative:margin;mso-wrap-style:none;z-index:251659264;mso-width-relative:page;mso-height-relative:page;" filled="f" stroked="f" coordsize="21600,21600" o:gfxdata="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ZF2Oy2QAAAAwBAAAPAAAAAAAAAAEAIAAAACIAAABkcnMvZG93bnJldi54&#10;bWxQSwECFAAUAAAACACHTuJA4YDTjjICAABhBAAADgAAAAAAAAABACAAAAAoAQAAZHJzL2Uyb0Rv&#10;Yy54bWxQSwUGAAAAAAYABgBZAQAAzAUAAAAA&#10;">
              <v:fill on="f" focussize="0,0"/>
              <v:stroke on="f" weight="0.5pt"/>
              <v:imagedata o:title=""/>
              <o:lock v:ext="edit" aspectratio="f"/>
              <v:textbox inset="0mm,0mm,0mm,0mm" style="mso-fit-shape-to-text:t;">
                <w:txbxContent>
                  <w:p w14:paraId="15290411">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jk0NTJiNWU3YmZiYzRjMjE2MjA2NDdhMzg3ZWI2MjIifQ=="/>
  </w:docVars>
  <w:rsids>
    <w:rsidRoot w:val="00000000"/>
    <w:rsid w:val="0B4222C6"/>
    <w:rsid w:val="0D851C9F"/>
    <w:rsid w:val="10493B9B"/>
    <w:rsid w:val="15D24B1D"/>
    <w:rsid w:val="19037B06"/>
    <w:rsid w:val="19391CB6"/>
    <w:rsid w:val="193D0F34"/>
    <w:rsid w:val="19633CF3"/>
    <w:rsid w:val="1A045DC3"/>
    <w:rsid w:val="1B512893"/>
    <w:rsid w:val="21292D49"/>
    <w:rsid w:val="26164E80"/>
    <w:rsid w:val="2A186697"/>
    <w:rsid w:val="2ABE1682"/>
    <w:rsid w:val="35DA6748"/>
    <w:rsid w:val="36146401"/>
    <w:rsid w:val="36E807A2"/>
    <w:rsid w:val="3C127E7E"/>
    <w:rsid w:val="44C91833"/>
    <w:rsid w:val="47352751"/>
    <w:rsid w:val="48FD1D08"/>
    <w:rsid w:val="4CBE463D"/>
    <w:rsid w:val="4EA36800"/>
    <w:rsid w:val="513105F5"/>
    <w:rsid w:val="56C80B2B"/>
    <w:rsid w:val="56DD2A1A"/>
    <w:rsid w:val="5C1C45D6"/>
    <w:rsid w:val="5EB54769"/>
    <w:rsid w:val="626B6B00"/>
    <w:rsid w:val="666D1CA7"/>
    <w:rsid w:val="6A276272"/>
    <w:rsid w:val="6E867F08"/>
    <w:rsid w:val="6F7E1D1E"/>
    <w:rsid w:val="75663601"/>
    <w:rsid w:val="78F82C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rPr>
      <w:rFonts w:ascii="微软雅黑" w:hAnsi="微软雅黑" w:eastAsia="微软雅黑" w:cs="微软雅黑"/>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Words>3259</Words>
  <Characters>3309</Characters>
  <TotalTime>201</TotalTime>
  <ScaleCrop>false</ScaleCrop>
  <LinksUpToDate>false</LinksUpToDate>
  <CharactersWithSpaces>3407</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2024-07-01T01:38:00Z</dcterms:created>
  <dc:creator>Administrator</dc:creator>
  <cp:lastModifiedBy>厚德载物</cp:lastModifiedBy>
  <cp:lastPrinted>2026-05-22T00:49:00Z</cp:lastPrinted>
  <dcterms:modified xsi:type="dcterms:W3CDTF">2026-05-25T09:22:18Z</dcterms:modified>
  <dc:title>关于提请局务会研究《石家庄市存量房买卖合同网上签约和交易资金监管办法》的请示(1).doc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2024-07-01T09:35:23Z</vt:filetime>
  </property>
  <property fmtid="{D5CDD505-2E9C-101B-9397-08002B2CF9AE}" pid="4" name="KSOProductBuildVer">
    <vt:lpwstr>2052-12.1.0.26375</vt:lpwstr>
  </property>
  <property fmtid="{D5CDD505-2E9C-101B-9397-08002B2CF9AE}" pid="5" name="ICV">
    <vt:lpwstr>FC55029538124F3B871EE4A103FBFBBB_13</vt:lpwstr>
  </property>
  <property fmtid="{D5CDD505-2E9C-101B-9397-08002B2CF9AE}" pid="6" name="KSOTemplateDocerSaveRecord">
    <vt:lpwstr>eyJoZGlkIjoiMjk0NTJiNWU3YmZiYzRjMjE2MjA2NDdhMzg3ZWI2MjIiLCJ1c2VySWQiOiIzMTAzMjY5NDAifQ==</vt:lpwstr>
  </property>
</Properties>
</file>